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3" w:rsidRDefault="00C30C53" w:rsidP="00C30C53">
      <w:pPr>
        <w:rPr>
          <w:kern w:val="1"/>
          <w:sz w:val="28"/>
        </w:rPr>
      </w:pPr>
      <w:r>
        <w:rPr>
          <w:kern w:val="1"/>
          <w:sz w:val="28"/>
        </w:rPr>
        <w:t>附件：</w:t>
      </w:r>
    </w:p>
    <w:p w:rsidR="00C30C53" w:rsidRDefault="00C30C53" w:rsidP="00C30C53">
      <w:pPr>
        <w:rPr>
          <w:kern w:val="1"/>
          <w:sz w:val="28"/>
        </w:rPr>
      </w:pPr>
    </w:p>
    <w:p w:rsidR="00C30C53" w:rsidRPr="003E3323" w:rsidRDefault="00C30C53" w:rsidP="00C30C53">
      <w:pPr>
        <w:jc w:val="center"/>
        <w:rPr>
          <w:rFonts w:ascii="宋体" w:hAnsi="宋体" w:cs="宋体"/>
          <w:b/>
          <w:kern w:val="1"/>
          <w:sz w:val="28"/>
          <w:szCs w:val="28"/>
        </w:rPr>
      </w:pPr>
      <w:r w:rsidRPr="003E3323">
        <w:rPr>
          <w:rFonts w:ascii="宋体" w:hAnsi="宋体" w:cs="宋体"/>
          <w:b/>
          <w:bCs/>
          <w:kern w:val="1"/>
          <w:sz w:val="28"/>
          <w:szCs w:val="32"/>
        </w:rPr>
        <w:t>A包</w:t>
      </w:r>
      <w:r w:rsidRPr="003E3323">
        <w:rPr>
          <w:rFonts w:ascii="宋体" w:hAnsi="宋体" w:cs="宋体" w:hint="eastAsia"/>
          <w:b/>
          <w:bCs/>
          <w:kern w:val="1"/>
          <w:sz w:val="28"/>
          <w:szCs w:val="32"/>
        </w:rPr>
        <w:t>：</w:t>
      </w:r>
      <w:r w:rsidRPr="003E3323">
        <w:rPr>
          <w:rFonts w:ascii="宋体" w:hAnsi="宋体" w:cs="宋体"/>
          <w:b/>
          <w:bCs/>
          <w:kern w:val="1"/>
          <w:sz w:val="28"/>
          <w:szCs w:val="32"/>
        </w:rPr>
        <w:t>生锈围栏和铁柱</w:t>
      </w:r>
      <w:r w:rsidRPr="003E3323">
        <w:rPr>
          <w:rFonts w:ascii="宋体" w:hAnsi="宋体" w:cs="宋体"/>
          <w:b/>
          <w:kern w:val="1"/>
          <w:sz w:val="28"/>
          <w:szCs w:val="28"/>
        </w:rPr>
        <w:t>除险加固维修项目</w:t>
      </w:r>
    </w:p>
    <w:p w:rsidR="00C30C53" w:rsidRPr="003E3323" w:rsidRDefault="00C30C53" w:rsidP="00C30C53">
      <w:pPr>
        <w:ind w:firstLine="560"/>
        <w:rPr>
          <w:rFonts w:ascii="宋体" w:hAnsi="宋体" w:cs="宋体"/>
          <w:color w:val="FF0000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行政楼二楼东、西两边玻璃雨棚、3号、4号教学楼栏杆及女生宿舍门前铁围栏和铁柱进行除锈油漆，主要内容为打磨除锈，重新上漆，总面积近320平方米和1</w:t>
      </w:r>
      <w:r>
        <w:rPr>
          <w:rFonts w:ascii="宋体" w:hAnsi="宋体" w:cs="宋体" w:hint="eastAsia"/>
          <w:kern w:val="1"/>
          <w:sz w:val="28"/>
          <w:szCs w:val="28"/>
        </w:rPr>
        <w:t>300</w:t>
      </w:r>
      <w:r>
        <w:rPr>
          <w:rFonts w:ascii="宋体" w:hAnsi="宋体" w:cs="宋体"/>
          <w:kern w:val="1"/>
          <w:sz w:val="28"/>
          <w:szCs w:val="28"/>
        </w:rPr>
        <w:t>米，本项目控制价：</w:t>
      </w:r>
      <w:r>
        <w:rPr>
          <w:rFonts w:ascii="宋体" w:hAnsi="宋体" w:cs="宋体" w:hint="eastAsia"/>
          <w:kern w:val="1"/>
          <w:sz w:val="28"/>
          <w:szCs w:val="28"/>
        </w:rPr>
        <w:t>57000</w:t>
      </w:r>
      <w:r>
        <w:rPr>
          <w:rFonts w:ascii="宋体" w:hAnsi="宋体" w:cs="宋体"/>
          <w:kern w:val="1"/>
          <w:sz w:val="28"/>
          <w:szCs w:val="28"/>
        </w:rPr>
        <w:t>元。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772"/>
        <w:gridCol w:w="2068"/>
        <w:gridCol w:w="1420"/>
        <w:gridCol w:w="1420"/>
        <w:gridCol w:w="1421"/>
        <w:gridCol w:w="1421"/>
      </w:tblGrid>
      <w:tr w:rsidR="00C30C53" w:rsidTr="00780D6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计算单位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数量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投标单价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小计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费用</w:t>
            </w:r>
          </w:p>
        </w:tc>
      </w:tr>
      <w:tr w:rsidR="00C30C53" w:rsidTr="00780D6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Pr="00C30C53" w:rsidRDefault="00C30C53" w:rsidP="00780D63">
            <w:pP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 w:rsidRPr="00C30C53"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女生宿舍外围栏（按投影面积计算）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Pr="00C30C53" w:rsidRDefault="00C30C53" w:rsidP="00780D63">
            <w:pPr>
              <w:rPr>
                <w:rFonts w:ascii="宋体" w:hAnsi="宋体" w:cs="宋体" w:hint="eastAsia"/>
                <w:color w:val="auto"/>
                <w:kern w:val="1"/>
                <w:sz w:val="28"/>
                <w:szCs w:val="28"/>
              </w:rPr>
            </w:pPr>
            <w:r w:rsidRPr="00C30C53">
              <w:rPr>
                <w:rFonts w:ascii="宋体" w:hAnsi="宋体" w:cs="宋体" w:hint="eastAsia"/>
                <w:color w:val="auto"/>
                <w:kern w:val="1"/>
                <w:sz w:val="28"/>
                <w:szCs w:val="28"/>
              </w:rPr>
              <w:t>3、4号教学楼楼梯栏杆（按延长米计算）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Pr="00C30C53" w:rsidRDefault="00C30C53" w:rsidP="00780D63">
            <w:pP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 w:rsidRPr="00C30C53"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行政楼东西附楼玻璃雨棚铁支柱（</w:t>
            </w:r>
            <w:proofErr w:type="gramStart"/>
            <w:r w:rsidRPr="00C30C53"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按展开</w:t>
            </w:r>
            <w:proofErr w:type="gramEnd"/>
            <w:r w:rsidRPr="00C30C53"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面积计算）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264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合计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</w:tbl>
    <w:p w:rsidR="00C30C53" w:rsidRDefault="00C30C53" w:rsidP="00C30C53">
      <w:pPr>
        <w:ind w:firstLine="560"/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 w:hint="eastAsia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 w:hint="eastAsia"/>
          <w:kern w:val="1"/>
          <w:sz w:val="28"/>
          <w:szCs w:val="28"/>
        </w:rPr>
      </w:pPr>
    </w:p>
    <w:p w:rsidR="00C30C53" w:rsidRDefault="00C30C53" w:rsidP="00C30C53">
      <w:pPr>
        <w:rPr>
          <w:rFonts w:ascii="宋体" w:hAnsi="宋体" w:cs="宋体"/>
          <w:kern w:val="1"/>
          <w:sz w:val="28"/>
          <w:szCs w:val="28"/>
        </w:rPr>
      </w:pPr>
    </w:p>
    <w:p w:rsidR="00C30C53" w:rsidRPr="003E3323" w:rsidRDefault="00C30C53" w:rsidP="00C30C53">
      <w:pPr>
        <w:ind w:firstLine="560"/>
        <w:jc w:val="center"/>
        <w:rPr>
          <w:rFonts w:ascii="宋体" w:hAnsi="宋体" w:cs="宋体"/>
          <w:b/>
          <w:kern w:val="1"/>
          <w:sz w:val="28"/>
          <w:szCs w:val="32"/>
        </w:rPr>
      </w:pPr>
      <w:r w:rsidRPr="003E3323">
        <w:rPr>
          <w:rFonts w:ascii="宋体" w:hAnsi="宋体" w:cs="宋体"/>
          <w:b/>
          <w:kern w:val="1"/>
          <w:sz w:val="28"/>
          <w:szCs w:val="28"/>
        </w:rPr>
        <w:lastRenderedPageBreak/>
        <w:t>B包：</w:t>
      </w:r>
      <w:r w:rsidRPr="003E3323">
        <w:rPr>
          <w:rFonts w:ascii="宋体" w:hAnsi="宋体" w:cs="宋体"/>
          <w:b/>
          <w:kern w:val="1"/>
          <w:sz w:val="28"/>
          <w:szCs w:val="32"/>
        </w:rPr>
        <w:t>5栋﹑14栋商铺前修路﹑增设栏杆的项目</w:t>
      </w:r>
    </w:p>
    <w:p w:rsidR="00C30C53" w:rsidRDefault="00C30C53" w:rsidP="00C30C53">
      <w:pPr>
        <w:ind w:firstLine="560"/>
        <w:rPr>
          <w:rFonts w:ascii="宋体" w:hAnsi="宋体" w:cs="宋体"/>
          <w:color w:val="FF0000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5栋﹑14栋学生宿舍商铺前铺设两条便道及增设栏杆，本项目控制价为</w:t>
      </w:r>
      <w:r>
        <w:rPr>
          <w:rFonts w:ascii="宋体" w:hAnsi="宋体" w:cs="宋体" w:hint="eastAsia"/>
          <w:kern w:val="1"/>
          <w:sz w:val="28"/>
          <w:szCs w:val="28"/>
        </w:rPr>
        <w:t>25000</w:t>
      </w:r>
      <w:r>
        <w:rPr>
          <w:rFonts w:ascii="宋体" w:hAnsi="宋体" w:cs="宋体"/>
          <w:kern w:val="1"/>
          <w:sz w:val="28"/>
          <w:szCs w:val="28"/>
        </w:rPr>
        <w:t>元。</w:t>
      </w:r>
      <w:r>
        <w:rPr>
          <w:rFonts w:ascii="宋体" w:hAnsi="宋体" w:cs="宋体"/>
          <w:color w:val="FF0000"/>
          <w:kern w:val="1"/>
          <w:sz w:val="28"/>
          <w:szCs w:val="28"/>
        </w:rPr>
        <w:t xml:space="preserve"> 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724"/>
        <w:gridCol w:w="2116"/>
        <w:gridCol w:w="1420"/>
        <w:gridCol w:w="1420"/>
        <w:gridCol w:w="1421"/>
        <w:gridCol w:w="1421"/>
      </w:tblGrid>
      <w:tr w:rsidR="00C30C53" w:rsidTr="00780D6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序号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计算单位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数量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投标单价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小计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费用</w:t>
            </w:r>
          </w:p>
        </w:tc>
      </w:tr>
      <w:tr w:rsidR="00C30C53" w:rsidTr="00780D6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吸水彩砖路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栏杆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合计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</w:tbl>
    <w:p w:rsidR="00C30C53" w:rsidRDefault="00C30C53" w:rsidP="00C30C53">
      <w:pPr>
        <w:rPr>
          <w:rFonts w:ascii="仿宋_GB2312" w:hAnsi="仿宋_GB2312"/>
          <w:kern w:val="1"/>
          <w:sz w:val="28"/>
          <w:szCs w:val="28"/>
        </w:rPr>
      </w:pPr>
      <w:r w:rsidRPr="003E3323">
        <w:rPr>
          <w:rFonts w:ascii="仿宋_GB2312" w:hAnsi="仿宋_GB2312"/>
          <w:kern w:val="1"/>
          <w:sz w:val="28"/>
          <w:szCs w:val="28"/>
        </w:rPr>
        <w:t>备注</w:t>
      </w:r>
      <w:r w:rsidRPr="003E3323">
        <w:rPr>
          <w:rFonts w:ascii="仿宋_GB2312" w:hAnsi="仿宋_GB2312"/>
          <w:kern w:val="1"/>
          <w:sz w:val="28"/>
          <w:szCs w:val="28"/>
        </w:rPr>
        <w:t>1</w:t>
      </w:r>
      <w:r w:rsidRPr="003E3323">
        <w:rPr>
          <w:rFonts w:ascii="仿宋_GB2312" w:hAnsi="仿宋_GB2312"/>
          <w:kern w:val="1"/>
          <w:sz w:val="28"/>
          <w:szCs w:val="28"/>
        </w:rPr>
        <w:t>、吸水彩砖路的要求：</w:t>
      </w:r>
      <w:r w:rsidRPr="003E3323">
        <w:rPr>
          <w:rFonts w:ascii="仿宋_GB2312" w:hAnsi="仿宋_GB2312" w:hint="eastAsia"/>
          <w:kern w:val="1"/>
          <w:sz w:val="28"/>
          <w:szCs w:val="28"/>
        </w:rPr>
        <w:t>（</w:t>
      </w:r>
      <w:r w:rsidRPr="003E3323">
        <w:rPr>
          <w:rFonts w:ascii="仿宋_GB2312" w:hAnsi="仿宋_GB2312" w:hint="eastAsia"/>
          <w:kern w:val="1"/>
          <w:sz w:val="28"/>
          <w:szCs w:val="28"/>
        </w:rPr>
        <w:t>1</w:t>
      </w:r>
      <w:r w:rsidRPr="003E3323">
        <w:rPr>
          <w:rFonts w:ascii="仿宋_GB2312" w:hAnsi="仿宋_GB2312" w:hint="eastAsia"/>
          <w:kern w:val="1"/>
          <w:sz w:val="28"/>
          <w:szCs w:val="28"/>
        </w:rPr>
        <w:t>）</w:t>
      </w:r>
      <w:r>
        <w:rPr>
          <w:rFonts w:ascii="仿宋_GB2312" w:hAnsi="仿宋_GB2312"/>
          <w:kern w:val="1"/>
          <w:sz w:val="28"/>
          <w:szCs w:val="28"/>
        </w:rPr>
        <w:t>路基范围地面</w:t>
      </w:r>
      <w:r>
        <w:rPr>
          <w:rFonts w:ascii="仿宋_GB2312" w:hAnsi="仿宋_GB2312"/>
          <w:kern w:val="1"/>
          <w:sz w:val="28"/>
          <w:szCs w:val="28"/>
        </w:rPr>
        <w:t>30cm</w:t>
      </w:r>
      <w:r>
        <w:rPr>
          <w:rFonts w:ascii="仿宋_GB2312" w:hAnsi="仿宋_GB2312"/>
          <w:kern w:val="1"/>
          <w:sz w:val="28"/>
          <w:szCs w:val="28"/>
        </w:rPr>
        <w:t>以内的草皮及腐殖土，</w:t>
      </w:r>
      <w:r w:rsidRPr="003E3323">
        <w:rPr>
          <w:rFonts w:ascii="仿宋_GB2312" w:hAnsi="仿宋_GB2312"/>
          <w:kern w:val="1"/>
          <w:sz w:val="28"/>
          <w:szCs w:val="28"/>
        </w:rPr>
        <w:t>垃圾、树根等杂物清除。</w:t>
      </w:r>
      <w:r w:rsidRPr="003E3323">
        <w:rPr>
          <w:rFonts w:ascii="仿宋_GB2312" w:hAnsi="仿宋_GB2312" w:hint="eastAsia"/>
          <w:kern w:val="1"/>
          <w:sz w:val="28"/>
          <w:szCs w:val="28"/>
        </w:rPr>
        <w:t>（</w:t>
      </w:r>
      <w:r w:rsidRPr="003E3323">
        <w:rPr>
          <w:rFonts w:ascii="仿宋_GB2312" w:hAnsi="仿宋_GB2312" w:hint="eastAsia"/>
          <w:kern w:val="1"/>
          <w:sz w:val="28"/>
          <w:szCs w:val="28"/>
        </w:rPr>
        <w:t>2</w:t>
      </w:r>
      <w:r w:rsidRPr="003E3323">
        <w:rPr>
          <w:rFonts w:ascii="仿宋_GB2312" w:hAnsi="仿宋_GB2312" w:hint="eastAsia"/>
          <w:kern w:val="1"/>
          <w:sz w:val="28"/>
          <w:szCs w:val="28"/>
        </w:rPr>
        <w:t>）</w:t>
      </w:r>
      <w:r>
        <w:rPr>
          <w:rFonts w:ascii="仿宋_GB2312" w:hAnsi="仿宋_GB2312"/>
          <w:kern w:val="1"/>
          <w:sz w:val="28"/>
          <w:szCs w:val="28"/>
        </w:rPr>
        <w:t>清理后的路基平整场地，采用水夯夯实填土层。</w:t>
      </w:r>
      <w:r>
        <w:rPr>
          <w:rFonts w:ascii="仿宋_GB2312" w:hAnsi="仿宋_GB2312" w:hint="eastAsia"/>
          <w:kern w:val="1"/>
          <w:sz w:val="28"/>
          <w:szCs w:val="28"/>
        </w:rPr>
        <w:t>（</w:t>
      </w:r>
      <w:r>
        <w:rPr>
          <w:rFonts w:ascii="仿宋_GB2312" w:hAnsi="仿宋_GB2312" w:hint="eastAsia"/>
          <w:kern w:val="1"/>
          <w:sz w:val="28"/>
          <w:szCs w:val="28"/>
        </w:rPr>
        <w:t>3</w:t>
      </w:r>
      <w:r>
        <w:rPr>
          <w:rFonts w:ascii="仿宋_GB2312" w:hAnsi="仿宋_GB2312" w:hint="eastAsia"/>
          <w:kern w:val="1"/>
          <w:sz w:val="28"/>
          <w:szCs w:val="28"/>
        </w:rPr>
        <w:t>）</w:t>
      </w:r>
      <w:r>
        <w:rPr>
          <w:rFonts w:ascii="仿宋_GB2312" w:hAnsi="仿宋_GB2312"/>
          <w:kern w:val="1"/>
          <w:sz w:val="28"/>
          <w:szCs w:val="28"/>
        </w:rPr>
        <w:t>8CM</w:t>
      </w:r>
      <w:r w:rsidRPr="003E3323">
        <w:rPr>
          <w:rFonts w:ascii="仿宋_GB2312" w:hAnsi="仿宋_GB2312" w:hint="eastAsia"/>
          <w:kern w:val="1"/>
          <w:sz w:val="28"/>
          <w:szCs w:val="28"/>
        </w:rPr>
        <w:t>厚</w:t>
      </w:r>
      <w:r w:rsidRPr="003E3323">
        <w:rPr>
          <w:rFonts w:ascii="仿宋_GB2312" w:hAnsi="仿宋_GB2312"/>
          <w:kern w:val="1"/>
          <w:sz w:val="28"/>
          <w:szCs w:val="28"/>
        </w:rPr>
        <w:t>C</w:t>
      </w:r>
      <w:r w:rsidRPr="003E3323">
        <w:rPr>
          <w:rFonts w:ascii="仿宋_GB2312" w:hAnsi="仿宋_GB2312" w:hint="eastAsia"/>
          <w:kern w:val="1"/>
          <w:sz w:val="28"/>
          <w:szCs w:val="28"/>
        </w:rPr>
        <w:t>2</w:t>
      </w:r>
      <w:r w:rsidRPr="003E3323">
        <w:rPr>
          <w:rFonts w:ascii="仿宋_GB2312" w:hAnsi="仿宋_GB2312"/>
          <w:kern w:val="1"/>
          <w:sz w:val="28"/>
          <w:szCs w:val="28"/>
        </w:rPr>
        <w:t>0</w:t>
      </w:r>
      <w:proofErr w:type="gramStart"/>
      <w:r w:rsidRPr="003E3323">
        <w:rPr>
          <w:rFonts w:ascii="仿宋_GB2312" w:hAnsi="仿宋_GB2312"/>
          <w:kern w:val="1"/>
          <w:sz w:val="28"/>
          <w:szCs w:val="28"/>
        </w:rPr>
        <w:t>砼</w:t>
      </w:r>
      <w:proofErr w:type="gramEnd"/>
      <w:r w:rsidRPr="003E3323">
        <w:rPr>
          <w:rFonts w:ascii="仿宋_GB2312" w:hAnsi="仿宋_GB2312"/>
          <w:kern w:val="1"/>
          <w:sz w:val="28"/>
          <w:szCs w:val="28"/>
        </w:rPr>
        <w:t>垫层</w:t>
      </w:r>
      <w:r w:rsidRPr="003E3323">
        <w:rPr>
          <w:rFonts w:ascii="仿宋_GB2312" w:hAnsi="仿宋_GB2312" w:hint="eastAsia"/>
          <w:kern w:val="1"/>
          <w:sz w:val="28"/>
          <w:szCs w:val="28"/>
        </w:rPr>
        <w:t>；</w:t>
      </w:r>
      <w:r>
        <w:rPr>
          <w:rFonts w:ascii="仿宋_GB2312" w:hAnsi="仿宋_GB2312" w:hint="eastAsia"/>
          <w:kern w:val="1"/>
          <w:sz w:val="28"/>
          <w:szCs w:val="28"/>
        </w:rPr>
        <w:t>（</w:t>
      </w:r>
      <w:r>
        <w:rPr>
          <w:rFonts w:ascii="仿宋_GB2312" w:hAnsi="仿宋_GB2312" w:hint="eastAsia"/>
          <w:kern w:val="1"/>
          <w:sz w:val="28"/>
          <w:szCs w:val="28"/>
        </w:rPr>
        <w:t>4</w:t>
      </w:r>
      <w:r>
        <w:rPr>
          <w:rFonts w:ascii="仿宋_GB2312" w:hAnsi="仿宋_GB2312" w:hint="eastAsia"/>
          <w:kern w:val="1"/>
          <w:sz w:val="28"/>
          <w:szCs w:val="28"/>
        </w:rPr>
        <w:t>）</w:t>
      </w:r>
      <w:r>
        <w:rPr>
          <w:rFonts w:ascii="仿宋_GB2312" w:hAnsi="仿宋_GB2312"/>
          <w:kern w:val="1"/>
          <w:sz w:val="28"/>
          <w:szCs w:val="28"/>
        </w:rPr>
        <w:t>彩砖铺贴。</w:t>
      </w:r>
      <w:r>
        <w:rPr>
          <w:rFonts w:ascii="仿宋_GB2312" w:hAnsi="仿宋_GB2312" w:hint="eastAsia"/>
          <w:kern w:val="1"/>
          <w:sz w:val="28"/>
          <w:szCs w:val="28"/>
        </w:rPr>
        <w:t>（</w:t>
      </w:r>
      <w:r>
        <w:rPr>
          <w:rFonts w:ascii="仿宋_GB2312" w:hAnsi="仿宋_GB2312" w:hint="eastAsia"/>
          <w:kern w:val="1"/>
          <w:sz w:val="28"/>
          <w:szCs w:val="28"/>
        </w:rPr>
        <w:t>5</w:t>
      </w:r>
      <w:r>
        <w:rPr>
          <w:rFonts w:ascii="仿宋_GB2312" w:hAnsi="仿宋_GB2312" w:hint="eastAsia"/>
          <w:kern w:val="1"/>
          <w:sz w:val="28"/>
          <w:szCs w:val="28"/>
        </w:rPr>
        <w:t>）</w:t>
      </w:r>
      <w:r>
        <w:rPr>
          <w:rFonts w:ascii="仿宋_GB2312" w:hAnsi="仿宋_GB2312"/>
          <w:kern w:val="1"/>
          <w:sz w:val="28"/>
          <w:szCs w:val="28"/>
        </w:rPr>
        <w:t>路肩安装花岗岩路沿石。</w:t>
      </w:r>
    </w:p>
    <w:p w:rsidR="00C30C53" w:rsidRPr="003E3323" w:rsidRDefault="00C30C53" w:rsidP="00C30C53">
      <w:pPr>
        <w:numPr>
          <w:ilvl w:val="0"/>
          <w:numId w:val="1"/>
        </w:numPr>
        <w:rPr>
          <w:rFonts w:ascii="仿宋_GB2312" w:hAnsi="仿宋_GB2312"/>
          <w:kern w:val="1"/>
          <w:sz w:val="28"/>
          <w:szCs w:val="28"/>
        </w:rPr>
      </w:pPr>
      <w:r>
        <w:rPr>
          <w:rFonts w:ascii="仿宋_GB2312" w:hAnsi="仿宋_GB2312"/>
          <w:kern w:val="1"/>
          <w:sz w:val="28"/>
          <w:szCs w:val="28"/>
        </w:rPr>
        <w:t>栏杆标准：</w:t>
      </w:r>
      <w:r w:rsidRPr="003E3323">
        <w:rPr>
          <w:rFonts w:ascii="仿宋_GB2312" w:hAnsi="仿宋_GB2312"/>
          <w:kern w:val="1"/>
          <w:sz w:val="28"/>
          <w:szCs w:val="28"/>
        </w:rPr>
        <w:t>横杆、立杆均采用</w:t>
      </w:r>
      <w:r w:rsidRPr="003E3323">
        <w:rPr>
          <w:rFonts w:ascii="仿宋_GB2312" w:hAnsi="仿宋_GB2312"/>
          <w:kern w:val="1"/>
          <w:sz w:val="28"/>
          <w:szCs w:val="28"/>
        </w:rPr>
        <w:t>Φ32GB</w:t>
      </w:r>
      <w:r w:rsidRPr="003E3323">
        <w:rPr>
          <w:rFonts w:ascii="仿宋_GB2312" w:hAnsi="仿宋_GB2312"/>
          <w:kern w:val="1"/>
          <w:sz w:val="28"/>
          <w:szCs w:val="28"/>
        </w:rPr>
        <w:t>热镀钢管，中间竖杆采用</w:t>
      </w:r>
      <w:r w:rsidRPr="003E3323">
        <w:rPr>
          <w:rFonts w:ascii="仿宋_GB2312" w:hAnsi="仿宋_GB2312"/>
          <w:kern w:val="1"/>
          <w:sz w:val="28"/>
          <w:szCs w:val="28"/>
        </w:rPr>
        <w:t>Φ16GB</w:t>
      </w:r>
      <w:r w:rsidRPr="003E3323">
        <w:rPr>
          <w:rFonts w:ascii="仿宋_GB2312" w:hAnsi="仿宋_GB2312"/>
          <w:kern w:val="1"/>
          <w:sz w:val="28"/>
          <w:szCs w:val="28"/>
        </w:rPr>
        <w:t>热镀钢管，要求间距不大于</w:t>
      </w:r>
      <w:r w:rsidRPr="003E3323">
        <w:rPr>
          <w:rFonts w:ascii="仿宋_GB2312" w:hAnsi="仿宋_GB2312"/>
          <w:kern w:val="1"/>
          <w:sz w:val="28"/>
          <w:szCs w:val="28"/>
        </w:rPr>
        <w:t>12</w:t>
      </w:r>
      <w:r w:rsidRPr="003E3323">
        <w:rPr>
          <w:rFonts w:ascii="仿宋_GB2312" w:hAnsi="仿宋_GB2312"/>
          <w:kern w:val="1"/>
          <w:sz w:val="28"/>
          <w:szCs w:val="28"/>
        </w:rPr>
        <w:t>厘米，</w:t>
      </w:r>
      <w:proofErr w:type="gramStart"/>
      <w:r w:rsidRPr="003E3323">
        <w:rPr>
          <w:rFonts w:ascii="仿宋_GB2312" w:hAnsi="仿宋_GB2312"/>
          <w:kern w:val="1"/>
          <w:sz w:val="28"/>
          <w:szCs w:val="28"/>
        </w:rPr>
        <w:t>整杆不</w:t>
      </w:r>
      <w:proofErr w:type="gramEnd"/>
      <w:r w:rsidRPr="003E3323">
        <w:rPr>
          <w:rFonts w:ascii="仿宋_GB2312" w:hAnsi="仿宋_GB2312"/>
          <w:kern w:val="1"/>
          <w:sz w:val="28"/>
          <w:szCs w:val="28"/>
        </w:rPr>
        <w:t>焊接，焊接处要求焊缝饱满，焊后打磨平整，刷防锈漆、银粉两遍。地面以上高度</w:t>
      </w:r>
      <w:r w:rsidRPr="003E3323">
        <w:rPr>
          <w:rFonts w:ascii="仿宋_GB2312" w:hAnsi="仿宋_GB2312"/>
          <w:kern w:val="1"/>
          <w:sz w:val="28"/>
          <w:szCs w:val="28"/>
        </w:rPr>
        <w:t>90</w:t>
      </w:r>
      <w:r w:rsidRPr="003E3323">
        <w:rPr>
          <w:rFonts w:ascii="仿宋_GB2312" w:hAnsi="仿宋_GB2312"/>
          <w:kern w:val="1"/>
          <w:sz w:val="28"/>
          <w:szCs w:val="28"/>
        </w:rPr>
        <w:t>厘米。</w:t>
      </w:r>
    </w:p>
    <w:p w:rsidR="00C30C53" w:rsidRDefault="00C30C53" w:rsidP="00C30C53">
      <w:pPr>
        <w:pStyle w:val="1"/>
        <w:pBdr>
          <w:bottom w:val="single" w:sz="6" w:space="15" w:color="CCCCCC"/>
        </w:pBdr>
        <w:shd w:val="clear" w:color="000000" w:fill="FFFFFF"/>
        <w:spacing w:before="0" w:beforeAutospacing="0" w:after="300" w:afterAutospacing="0" w:line="17" w:lineRule="atLeast"/>
        <w:jc w:val="both"/>
        <w:rPr>
          <w:rFonts w:ascii="Arial" w:hAnsi="Arial" w:cs="Arial"/>
          <w:b w:val="0"/>
          <w:color w:val="333333"/>
          <w:sz w:val="28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 w:hint="eastAsia"/>
          <w:color w:val="333333"/>
          <w:kern w:val="1"/>
          <w:sz w:val="28"/>
          <w:szCs w:val="21"/>
          <w:shd w:val="clear" w:color="auto" w:fill="FFFFFF"/>
        </w:rPr>
      </w:pPr>
    </w:p>
    <w:p w:rsidR="00C30C53" w:rsidRDefault="00C30C53" w:rsidP="00C30C53">
      <w:pPr>
        <w:rPr>
          <w:rFonts w:ascii="微软雅黑" w:hAnsi="微软雅黑" w:cs="微软雅黑"/>
          <w:color w:val="333333"/>
          <w:kern w:val="1"/>
          <w:sz w:val="28"/>
          <w:szCs w:val="21"/>
          <w:shd w:val="clear" w:color="auto" w:fill="FFFFFF"/>
        </w:rPr>
      </w:pPr>
    </w:p>
    <w:p w:rsidR="00C30C53" w:rsidRPr="003E3323" w:rsidRDefault="00C30C53" w:rsidP="00C30C53">
      <w:pPr>
        <w:jc w:val="center"/>
        <w:rPr>
          <w:rFonts w:ascii="仿宋_GB2312" w:hAnsi="仿宋_GB2312"/>
          <w:b/>
          <w:kern w:val="1"/>
          <w:sz w:val="28"/>
          <w:szCs w:val="28"/>
        </w:rPr>
      </w:pPr>
      <w:bookmarkStart w:id="0" w:name="_GoBack"/>
      <w:bookmarkEnd w:id="0"/>
      <w:r w:rsidRPr="003E3323">
        <w:rPr>
          <w:rFonts w:ascii="仿宋_GB2312" w:hAnsi="仿宋_GB2312"/>
          <w:b/>
          <w:kern w:val="1"/>
          <w:sz w:val="28"/>
          <w:szCs w:val="28"/>
        </w:rPr>
        <w:lastRenderedPageBreak/>
        <w:t>C</w:t>
      </w:r>
      <w:r w:rsidRPr="003E3323">
        <w:rPr>
          <w:rFonts w:ascii="仿宋_GB2312" w:hAnsi="仿宋_GB2312"/>
          <w:b/>
          <w:kern w:val="1"/>
          <w:sz w:val="28"/>
          <w:szCs w:val="28"/>
        </w:rPr>
        <w:t>包：行道树树围景观改造项目</w:t>
      </w:r>
    </w:p>
    <w:p w:rsidR="00C30C53" w:rsidRDefault="00C30C53" w:rsidP="00C30C53">
      <w:pPr>
        <w:pStyle w:val="a5"/>
        <w:ind w:firstLine="840"/>
        <w:rPr>
          <w:sz w:val="28"/>
          <w:szCs w:val="28"/>
        </w:rPr>
      </w:pPr>
      <w:r>
        <w:rPr>
          <w:sz w:val="28"/>
          <w:szCs w:val="28"/>
        </w:rPr>
        <w:t>树桩围挡内松土，</w:t>
      </w:r>
      <w:r>
        <w:rPr>
          <w:rFonts w:hint="eastAsia"/>
          <w:sz w:val="28"/>
          <w:szCs w:val="28"/>
        </w:rPr>
        <w:t>铺设直径达5厘米以上鹅卵石覆盖行道树根部周边环形区域，补种中叶麦冬草</w:t>
      </w:r>
      <w:r>
        <w:rPr>
          <w:sz w:val="28"/>
          <w:szCs w:val="28"/>
        </w:rPr>
        <w:t>，</w:t>
      </w:r>
      <w:r>
        <w:rPr>
          <w:kern w:val="1"/>
          <w:sz w:val="28"/>
          <w:szCs w:val="28"/>
        </w:rPr>
        <w:t>本项目控制价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45000</w:t>
      </w:r>
      <w:r>
        <w:rPr>
          <w:sz w:val="28"/>
          <w:szCs w:val="28"/>
        </w:rPr>
        <w:t>元。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991"/>
        <w:gridCol w:w="1849"/>
        <w:gridCol w:w="1420"/>
        <w:gridCol w:w="1420"/>
        <w:gridCol w:w="1421"/>
        <w:gridCol w:w="1421"/>
      </w:tblGrid>
      <w:tr w:rsidR="00C30C53" w:rsidTr="00780D6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计算单位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数量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投标单价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小计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费用</w:t>
            </w:r>
          </w:p>
        </w:tc>
      </w:tr>
      <w:tr w:rsidR="00C30C53" w:rsidTr="00780D6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1"/>
                <w:sz w:val="28"/>
                <w:szCs w:val="32"/>
              </w:rPr>
              <w:t>行道树树围景观改造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proofErr w:type="gramStart"/>
            <w:r>
              <w:rPr>
                <w:rFonts w:ascii="宋体" w:hAnsi="宋体" w:cs="宋体"/>
                <w:kern w:val="1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706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景观石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  <w:tr w:rsidR="00C30C53" w:rsidTr="00780D6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 w:hint="eastAsia"/>
                <w:kern w:val="1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1"/>
                <w:sz w:val="28"/>
                <w:szCs w:val="28"/>
              </w:rPr>
              <w:t>合计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53" w:rsidRDefault="00C30C53" w:rsidP="00780D63">
            <w:pPr>
              <w:rPr>
                <w:rFonts w:ascii="宋体" w:hAnsi="宋体" w:cs="宋体"/>
                <w:kern w:val="1"/>
                <w:sz w:val="28"/>
                <w:szCs w:val="28"/>
              </w:rPr>
            </w:pPr>
          </w:p>
        </w:tc>
      </w:tr>
    </w:tbl>
    <w:p w:rsidR="00C30C53" w:rsidRDefault="00C30C53" w:rsidP="00C30C53">
      <w:pP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</w:pPr>
      <w:r>
        <w:rPr>
          <w:rFonts w:hint="eastAsia"/>
          <w:sz w:val="28"/>
        </w:rPr>
        <w:t>备注要求：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、松土，表土要低于路面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厘米，种中叶麦冬草，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行距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10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厘米、穴距1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0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厘米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，中间铺鹅卵石，</w:t>
      </w:r>
      <w:r>
        <w:rPr>
          <w:rFonts w:ascii="宋体" w:hAnsi="宋体" w:cs="宋体" w:hint="eastAsia"/>
          <w:sz w:val="28"/>
          <w:szCs w:val="28"/>
        </w:rPr>
        <w:t>覆盖行道树根部周边环形区域，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多余的土壤清运到指定地点。</w:t>
      </w:r>
    </w:p>
    <w:p w:rsidR="00C30C53" w:rsidRPr="003E3323" w:rsidRDefault="00C30C53" w:rsidP="00C30C53">
      <w:pPr>
        <w:pStyle w:val="1"/>
        <w:pBdr>
          <w:bottom w:val="single" w:sz="6" w:space="15" w:color="CCCCCC"/>
        </w:pBdr>
        <w:shd w:val="clear" w:color="000000" w:fill="FFFFFF"/>
        <w:spacing w:before="0" w:beforeAutospacing="0" w:after="300" w:afterAutospacing="0" w:line="17" w:lineRule="atLeast"/>
        <w:jc w:val="both"/>
        <w:rPr>
          <w:rFonts w:ascii="仿宋_GB2312" w:hAnsi="仿宋_GB2312" w:cs="Times New Roman"/>
          <w:b w:val="0"/>
          <w:kern w:val="1"/>
          <w:sz w:val="28"/>
          <w:szCs w:val="28"/>
        </w:rPr>
      </w:pPr>
      <w:r w:rsidRPr="003E3323">
        <w:rPr>
          <w:rFonts w:ascii="仿宋_GB2312" w:hAnsi="仿宋_GB2312" w:cs="Times New Roman" w:hint="eastAsia"/>
          <w:b w:val="0"/>
          <w:kern w:val="1"/>
          <w:sz w:val="28"/>
          <w:szCs w:val="28"/>
        </w:rPr>
        <w:t>2</w:t>
      </w:r>
      <w:r w:rsidRPr="003E3323">
        <w:rPr>
          <w:rFonts w:ascii="仿宋_GB2312" w:hAnsi="仿宋_GB2312" w:cs="Times New Roman"/>
          <w:b w:val="0"/>
          <w:kern w:val="1"/>
          <w:sz w:val="28"/>
          <w:szCs w:val="28"/>
        </w:rPr>
        <w:t>、景观石：直径</w:t>
      </w:r>
      <w:r w:rsidRPr="003E3323">
        <w:rPr>
          <w:rFonts w:ascii="仿宋_GB2312" w:hAnsi="仿宋_GB2312" w:cs="Times New Roman"/>
          <w:b w:val="0"/>
          <w:kern w:val="1"/>
          <w:sz w:val="28"/>
          <w:szCs w:val="28"/>
        </w:rPr>
        <w:t>50</w:t>
      </w:r>
      <w:r w:rsidRPr="003E3323">
        <w:rPr>
          <w:rFonts w:ascii="仿宋_GB2312" w:hAnsi="仿宋_GB2312" w:cs="Times New Roman"/>
          <w:b w:val="0"/>
          <w:kern w:val="1"/>
          <w:sz w:val="28"/>
          <w:szCs w:val="28"/>
        </w:rPr>
        <w:t>公分以上的鹅卵石或草坪石。</w:t>
      </w:r>
      <w:r w:rsidRPr="003E3323">
        <w:rPr>
          <w:rFonts w:ascii="仿宋_GB2312" w:hAnsi="仿宋_GB2312" w:cs="Times New Roman" w:hint="eastAsia"/>
          <w:b w:val="0"/>
          <w:kern w:val="1"/>
          <w:sz w:val="28"/>
          <w:szCs w:val="28"/>
        </w:rPr>
        <w:t>放置在学院指定的位置上。</w:t>
      </w:r>
    </w:p>
    <w:p w:rsidR="00CD203E" w:rsidRPr="00C30C53" w:rsidRDefault="00CD203E"/>
    <w:sectPr w:rsidR="00CD203E" w:rsidRPr="00C30C5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53" w:rsidRDefault="00C30C53" w:rsidP="00C30C53">
      <w:r>
        <w:separator/>
      </w:r>
    </w:p>
  </w:endnote>
  <w:endnote w:type="continuationSeparator" w:id="0">
    <w:p w:rsidR="00C30C53" w:rsidRDefault="00C30C53" w:rsidP="00C3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53" w:rsidRDefault="00C30C53" w:rsidP="00C30C53">
      <w:r>
        <w:separator/>
      </w:r>
    </w:p>
  </w:footnote>
  <w:footnote w:type="continuationSeparator" w:id="0">
    <w:p w:rsidR="00C30C53" w:rsidRDefault="00C30C53" w:rsidP="00C3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9CCA"/>
    <w:multiLevelType w:val="singleLevel"/>
    <w:tmpl w:val="5DD49CC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9"/>
    <w:rsid w:val="003E2509"/>
    <w:rsid w:val="00C30C53"/>
    <w:rsid w:val="00C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C30C53"/>
    <w:pPr>
      <w:widowControl w:val="0"/>
      <w:jc w:val="both"/>
    </w:pPr>
    <w:rPr>
      <w:rFonts w:ascii="Calibri" w:eastAsia="宋体" w:hAnsi="Calibri" w:cs="Times New Roman"/>
      <w:color w:val="000000"/>
      <w:kern w:val="0"/>
      <w:szCs w:val="24"/>
    </w:rPr>
  </w:style>
  <w:style w:type="paragraph" w:styleId="1">
    <w:name w:val="heading 1"/>
    <w:basedOn w:val="a"/>
    <w:link w:val="1Char"/>
    <w:uiPriority w:val="6"/>
    <w:qFormat/>
    <w:rsid w:val="00C30C5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3"/>
    <w:rPr>
      <w:sz w:val="18"/>
      <w:szCs w:val="18"/>
    </w:rPr>
  </w:style>
  <w:style w:type="character" w:customStyle="1" w:styleId="1Char">
    <w:name w:val="标题 1 Char"/>
    <w:basedOn w:val="a0"/>
    <w:link w:val="1"/>
    <w:uiPriority w:val="6"/>
    <w:rsid w:val="00C30C53"/>
    <w:rPr>
      <w:rFonts w:ascii="宋体" w:eastAsia="宋体" w:hAnsi="宋体" w:cs="宋体"/>
      <w:b/>
      <w:color w:val="000000"/>
      <w:kern w:val="0"/>
      <w:sz w:val="48"/>
      <w:szCs w:val="48"/>
    </w:rPr>
  </w:style>
  <w:style w:type="paragraph" w:styleId="a5">
    <w:name w:val="Normal (Web)"/>
    <w:basedOn w:val="a"/>
    <w:uiPriority w:val="7"/>
    <w:rsid w:val="00C30C5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C30C53"/>
    <w:pPr>
      <w:widowControl w:val="0"/>
      <w:jc w:val="both"/>
    </w:pPr>
    <w:rPr>
      <w:rFonts w:ascii="Calibri" w:eastAsia="宋体" w:hAnsi="Calibri" w:cs="Times New Roman"/>
      <w:color w:val="000000"/>
      <w:kern w:val="0"/>
      <w:szCs w:val="24"/>
    </w:rPr>
  </w:style>
  <w:style w:type="paragraph" w:styleId="1">
    <w:name w:val="heading 1"/>
    <w:basedOn w:val="a"/>
    <w:link w:val="1Char"/>
    <w:uiPriority w:val="6"/>
    <w:qFormat/>
    <w:rsid w:val="00C30C5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3"/>
    <w:rPr>
      <w:sz w:val="18"/>
      <w:szCs w:val="18"/>
    </w:rPr>
  </w:style>
  <w:style w:type="character" w:customStyle="1" w:styleId="1Char">
    <w:name w:val="标题 1 Char"/>
    <w:basedOn w:val="a0"/>
    <w:link w:val="1"/>
    <w:uiPriority w:val="6"/>
    <w:rsid w:val="00C30C53"/>
    <w:rPr>
      <w:rFonts w:ascii="宋体" w:eastAsia="宋体" w:hAnsi="宋体" w:cs="宋体"/>
      <w:b/>
      <w:color w:val="000000"/>
      <w:kern w:val="0"/>
      <w:sz w:val="48"/>
      <w:szCs w:val="48"/>
    </w:rPr>
  </w:style>
  <w:style w:type="paragraph" w:styleId="a5">
    <w:name w:val="Normal (Web)"/>
    <w:basedOn w:val="a"/>
    <w:uiPriority w:val="7"/>
    <w:rsid w:val="00C30C5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2019-11-22T08:26:00Z</dcterms:created>
  <dcterms:modified xsi:type="dcterms:W3CDTF">2019-11-22T08:27:00Z</dcterms:modified>
</cp:coreProperties>
</file>